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/>
      </w:pPr>
      <w:r>
        <w:rPr>
          <w:b/>
          <w:bCs/>
        </w:rPr>
        <w:t>Szczegółowe zasady utrzymywania banku soczewek</w:t>
      </w:r>
    </w:p>
    <w:p>
      <w:pPr>
        <w:pStyle w:val="Normal"/>
        <w:jc w:val="both"/>
        <w:rPr/>
      </w:pPr>
      <w:r>
        <w:rPr/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</w:tabs>
        <w:spacing w:before="120" w:after="120"/>
        <w:contextualSpacing/>
        <w:jc w:val="both"/>
        <w:rPr>
          <w:iCs/>
          <w:spacing w:val="-18"/>
        </w:rPr>
      </w:pPr>
      <w:r>
        <w:rPr>
          <w:b/>
          <w:iCs/>
          <w:spacing w:val="-3"/>
        </w:rPr>
        <w:t>W terminie 14 dni od momentu podpisania umowy</w:t>
      </w:r>
      <w:r>
        <w:rPr>
          <w:iCs/>
          <w:spacing w:val="-3"/>
        </w:rPr>
        <w:t xml:space="preserve">, Zamawiający wymaga w zakresie oferty </w:t>
        <w:tab/>
        <w:t xml:space="preserve">utworzenia banku </w:t>
      </w:r>
      <w:r>
        <w:rPr>
          <w:iCs/>
          <w:spacing w:val="-4"/>
        </w:rPr>
        <w:t>soczewek wg  specyfikacji przygotowanej przez Oddział Okulistyczny.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  <w:spacing w:val="-1"/>
        </w:rPr>
        <w:t xml:space="preserve">Przekazanie depozytu odbędzie się na podstawie protokołu zdawczo-odbiorczego. Osobą </w:t>
        <w:tab/>
        <w:t xml:space="preserve">odpowiedzialną za depozyt </w:t>
      </w:r>
      <w:r>
        <w:rPr>
          <w:iCs/>
          <w:spacing w:val="-9"/>
        </w:rPr>
        <w:t>jest:</w:t>
      </w:r>
      <w:r>
        <w:rPr>
          <w:iCs/>
        </w:rPr>
        <w:t xml:space="preserve"> Pielęgniarka Oddziałowa.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Wykonawca zachowuje prawo własności do powierzonych w depozyt soczewek. Prawo własności </w:t>
        <w:tab/>
        <w:t>soczewek przechodzi na Zamawiającego z momentem ich pobrania z depozytu.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Specyfikacja powierzonych soczewek może ulec zmianie na podstawie pisemnego aneksu do </w:t>
        <w:tab/>
        <w:t>umowy.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Uzupełnienie banku soczewek będzie następowało </w:t>
      </w:r>
      <w:r>
        <w:rPr>
          <w:b/>
          <w:iCs/>
        </w:rPr>
        <w:t>w terminie wskazanym w § 2 ust. 1 Umowy</w:t>
      </w:r>
      <w:r>
        <w:rPr>
          <w:iCs/>
        </w:rPr>
        <w:t xml:space="preserve">, na </w:t>
        <w:tab/>
        <w:t xml:space="preserve">podstawie zamówień Zamawiającego w formie raportu zużytych soczewek, przesyłanych nie </w:t>
        <w:tab/>
        <w:t>rzadziej, niż raz w miesiącu.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Zamawiający jest zobowiązany do przechowywania soczewek we właściwych warunkach, </w:t>
        <w:tab/>
        <w:t>zabezpieczenia ich przed uszkodzeniem, zniszczeniem lub kradzieżą.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W przypadku stwierdzenia, że soczewki przechowywane są nieprawidłowo Wykonawca ma prawo </w:t>
        <w:tab/>
        <w:t>do natychmiastowego odbioru materiałów.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W trosce o należytą gospodarkę materiałową Zamawiający będzie zużywał powierzone soczewki </w:t>
        <w:tab/>
        <w:t>począwszy od materiału o najkrótszej dacie ważności w ramach danego asortymentu.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>Zamawiający może wystąpić do Wykonawcy o wymianę materiału na równorzędny o dłuższej dacie ważności najpóźniej na 9 miesięcy przed upłynięciem daty ważności materiału wytypowanego do wymiany.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W przypadku nie zgłoszenia chęci wymiany, Wykonawca wystawi fakturę na materiały, które </w:t>
        <w:tab/>
        <w:t xml:space="preserve">przeterminowały się w siedzibie Zamawiającego </w:t>
      </w:r>
      <w:r>
        <w:rPr>
          <w:b/>
          <w:iCs/>
        </w:rPr>
        <w:t xml:space="preserve">oraz za te, których termin przydatności będzie </w:t>
        <w:tab/>
        <w:t>krótszy niż 9 miesięcy.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Wykonawca ma prawo do kontroli depozytu i warunków, w których są materiały przechowywane. 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>Jeden raz w roku kalendarzowym Wykonawca przeprowadzi w siedzibie Zamawiającego spis</w:t>
        <w:br/>
        <w:t xml:space="preserve">z natury materiałów powierzonych w depozyt. Termin inwentaryzacji zostanie uzgodniony </w:t>
        <w:br/>
        <w:t>z Zamawiającym na 2-3 tygodnie przed jej datą.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 xml:space="preserve">Ewentualne braki lub uszkodzenia materiałów stwierdzone w momencie rozliczenia banku soczewek upoważniają Wykonawcę do wystawienia Zamawiającemu faktury na brakujące lub uszkodzone materiały. 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</w:rPr>
        <w:t>Braki oraz uszkodzenia materiałów stwierdzone podczas spisu z natury, o którym jest mowa              w pkt. 13 upoważniają Wykonawcę do wystawienia Zamawiającemu faktury. Faktura zostanie wystawiona w oparciu o formularz spisowy, a Depozyt uzupełniony do stanu wyjściowego.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  <w:spacing w:val="-18"/>
        </w:rPr>
      </w:pPr>
      <w:r>
        <w:rPr>
          <w:iCs/>
          <w:spacing w:val="-4"/>
        </w:rPr>
        <w:t xml:space="preserve">Na uzupełniony bank soczewek zostanie wystawiona faktura </w:t>
      </w:r>
      <w:r>
        <w:rPr>
          <w:iCs/>
          <w:spacing w:val="-3"/>
        </w:rPr>
        <w:t>VAT z terminem płatności zawartym w § 5 umowy.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</w:rPr>
      </w:pPr>
      <w:r>
        <w:rPr>
          <w:iCs/>
        </w:rPr>
        <w:t>Banku soczewek nie tworzy się dla soczewek torycznych które będą zamawiane wg indywidualnych potrzeb po ustaleniu szczegółowych parametrów soczewki – dioptraż, cylinder korygujący astygmatyzm.</w:t>
      </w:r>
    </w:p>
    <w:p>
      <w:pPr>
        <w:pStyle w:val="ListParagraph"/>
        <w:widowControl w:val="false"/>
        <w:numPr>
          <w:ilvl w:val="0"/>
          <w:numId w:val="1"/>
        </w:numPr>
        <w:shd w:val="clear" w:color="auto" w:fill="FFFFFF"/>
        <w:tabs>
          <w:tab w:val="clear" w:pos="708"/>
          <w:tab w:val="left" w:pos="418" w:leader="none"/>
          <w:tab w:val="left" w:pos="2222" w:leader="dot"/>
        </w:tabs>
        <w:spacing w:before="120" w:after="120"/>
        <w:contextualSpacing/>
        <w:jc w:val="both"/>
        <w:rPr>
          <w:iCs/>
        </w:rPr>
      </w:pPr>
      <w:r>
        <w:rPr>
          <w:iCs/>
        </w:rPr>
        <w:t>W zakresie zadania nr 1 część 1 Zamawiający wymaga utworzenia banku soczewek</w:t>
        <w:br/>
        <w:t>w zakresie od +10.0 Dioptrii do 30.0 Dioptrii.</w:t>
      </w:r>
    </w:p>
    <w:p>
      <w:pPr>
        <w:pStyle w:val="Normal"/>
        <w:ind w:hanging="418"/>
        <w:rPr>
          <w:sz w:val="22"/>
        </w:rPr>
      </w:pPr>
      <w:r>
        <w:rPr>
          <w:sz w:val="22"/>
        </w:rPr>
      </w:r>
    </w:p>
    <w:p>
      <w:pPr>
        <w:pStyle w:val="Normal"/>
        <w:ind w:firstLine="709"/>
        <w:rPr>
          <w:b/>
        </w:rPr>
      </w:pPr>
      <w:r>
        <w:rPr>
          <w:b/>
        </w:rPr>
        <w:t xml:space="preserve">Dostawca: </w:t>
        <w:tab/>
        <w:tab/>
        <w:tab/>
        <w:t xml:space="preserve">                                                        Zamawiający:</w:t>
      </w:r>
    </w:p>
    <w:p>
      <w:pPr>
        <w:pStyle w:val="Normal"/>
        <w:ind w:hanging="418"/>
        <w:rPr>
          <w:b/>
        </w:rPr>
      </w:pPr>
      <w:r>
        <w:rPr>
          <w:b/>
        </w:rPr>
      </w:r>
    </w:p>
    <w:p>
      <w:pPr>
        <w:pStyle w:val="Normal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</w:t>
      </w:r>
      <w:r>
        <w:rPr>
          <w:bCs/>
          <w:sz w:val="22"/>
          <w:szCs w:val="22"/>
        </w:rPr>
        <w:tab/>
        <w:tab/>
        <w:tab/>
        <w:tab/>
        <w:tab/>
        <w:tab/>
        <w:t>……………………………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632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1"/>
    <w:qFormat/>
    <w:locked/>
    <w:rsid w:val="008c6325"/>
    <w:rPr>
      <w:rFonts w:ascii="Calibri" w:hAnsi="Calibri" w:eastAsia="Calibri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link w:val="AkapitzlistZnak"/>
    <w:uiPriority w:val="1"/>
    <w:qFormat/>
    <w:rsid w:val="008c6325"/>
    <w:pPr>
      <w:spacing w:lineRule="auto" w:line="259" w:before="0" w:after="160"/>
      <w:ind w:left="720"/>
      <w:contextualSpacing/>
    </w:pPr>
    <w:rPr>
      <w:rFonts w:ascii="Calibri" w:hAnsi="Calibri" w:eastAsia="Calibri" w:cs="" w:cstheme="minorBidi"/>
      <w:sz w:val="22"/>
      <w:szCs w:val="22"/>
      <w:lang w:eastAsia="en-U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LibreOffice/24.2.7.2$Linux_X86_64 LibreOffice_project/420$Build-2</Application>
  <AppVersion>15.0000</AppVersion>
  <Pages>2</Pages>
  <Words>392</Words>
  <Characters>2557</Characters>
  <CharactersWithSpaces>3005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2023-02-09T11:46:00Z</dcterms:created>
  <dc:creator>Rafał Moryl</dc:creator>
  <dc:description/>
  <dc:language>pl-PL</dc:language>
  <cp:lastModifiedBy/>
  <cp:lastPrinted>2023-02-21T08:57:00Z</cp:lastPrinted>
  <dcterms:modified xsi:type="dcterms:W3CDTF">2026-02-05T22:26:45Z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